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7229"/>
      </w:tblGrid>
      <w:tr w:rsidR="0063038F" w:rsidRPr="006D5C18" w:rsidTr="00A94F47">
        <w:tc>
          <w:tcPr>
            <w:tcW w:w="2411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927B4B" w:rsidRPr="00E0698B" w:rsidRDefault="00927B4B" w:rsidP="00E0698B">
            <w:pPr>
              <w:pStyle w:val="Prrafodelista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Inn</w:t>
            </w:r>
            <w:proofErr w:type="spellEnd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de lunes a viernes de </w:t>
            </w:r>
            <w:r w:rsidR="00E65A2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16:00 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a </w:t>
            </w:r>
            <w:r w:rsidR="00E65A2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18:00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horas.</w:t>
            </w:r>
          </w:p>
          <w:p w:rsidR="00927B4B" w:rsidRPr="00E0698B" w:rsidRDefault="00927B4B" w:rsidP="00E0698B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</w:p>
          <w:p w:rsidR="00927B4B" w:rsidRPr="00E0698B" w:rsidRDefault="00E65A27" w:rsidP="00E0698B">
            <w:pPr>
              <w:pStyle w:val="Prrafodelista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En línea</w:t>
            </w:r>
            <w:r w:rsidR="00927B4B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: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E0698B">
                <w:rPr>
                  <w:rFonts w:ascii="Times New Roman" w:eastAsia="Times New Roman" w:hAnsi="Times New Roman" w:cs="Times New Roman"/>
                  <w:bCs/>
                  <w:i/>
                  <w:sz w:val="32"/>
                  <w:szCs w:val="32"/>
                  <w:lang w:val="es-ES"/>
                </w:rPr>
                <w:t>www.gob.mx/sfp</w:t>
              </w:r>
            </w:hyperlink>
          </w:p>
          <w:p w:rsidR="00E65A27" w:rsidRPr="00E0698B" w:rsidRDefault="00A94F47" w:rsidP="00E0698B">
            <w:pPr>
              <w:pStyle w:val="Prrafodelista"/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En la </w:t>
            </w:r>
            <w:r w:rsidR="00E65A2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sección</w:t>
            </w: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:</w:t>
            </w:r>
            <w:r w:rsidR="00E65A2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Sistema Integral de quejas y denuncias ciudadanas</w:t>
            </w: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(SIQDC)</w:t>
            </w:r>
          </w:p>
          <w:p w:rsidR="00E65A27" w:rsidRPr="00E0698B" w:rsidRDefault="00E65A27" w:rsidP="00E0698B">
            <w:pPr>
              <w:pStyle w:val="Prrafodelista"/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Leyenda: </w:t>
            </w:r>
            <w:proofErr w:type="spellStart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E0698B" w:rsidRDefault="00E65A27" w:rsidP="00E0698B">
            <w:pPr>
              <w:pStyle w:val="Prrafodelista"/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Inmediatamente tendrá acceso al portal 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del sistema </w:t>
            </w: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SIQDC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E0698B" w:rsidRDefault="00927B4B" w:rsidP="00E0698B">
            <w:pPr>
              <w:pStyle w:val="Prrafodelista"/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Por correspondencia (Oficialía de Partes): Enviándola a Av. Insurgentes Sur No.1735, P.B. Colonia Guadalupe </w:t>
            </w:r>
            <w:proofErr w:type="spellStart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Inn</w:t>
            </w:r>
            <w:proofErr w:type="spellEnd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de lunes a viernes de 9:00 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a</w:t>
            </w:r>
            <w:r w:rsidR="00E65A2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15:00</w:t>
            </w:r>
            <w:r w:rsidR="00A94F47"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horas.</w:t>
            </w:r>
          </w:p>
          <w:p w:rsidR="00927B4B" w:rsidRPr="00E0698B" w:rsidRDefault="00927B4B" w:rsidP="00E0698B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</w:pPr>
          </w:p>
          <w:p w:rsidR="0063038F" w:rsidRPr="00E0698B" w:rsidRDefault="00927B4B" w:rsidP="00E0698B">
            <w:pPr>
              <w:pStyle w:val="Prrafodelista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Por teléfono: A través del número telefónico del conmutador (0155) 2000-3000, extensiones 2164 </w:t>
            </w:r>
            <w:proofErr w:type="spellStart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>ó</w:t>
            </w:r>
            <w:proofErr w:type="spellEnd"/>
            <w:r w:rsidRPr="00E0698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es-ES"/>
              </w:rPr>
              <w:t xml:space="preserve"> al 01800-1128-700</w:t>
            </w:r>
          </w:p>
        </w:tc>
      </w:tr>
    </w:tbl>
    <w:p w:rsidR="00E0698B" w:rsidRDefault="00E0698B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E0698B" w:rsidRDefault="00E0698B" w:rsidP="00E0698B">
      <w:pPr>
        <w:rPr>
          <w:rFonts w:ascii="Helvetica" w:hAnsi="Helvetica"/>
          <w:sz w:val="20"/>
          <w:szCs w:val="20"/>
          <w:lang w:val="en-US"/>
        </w:rPr>
      </w:pPr>
    </w:p>
    <w:sectPr w:rsidR="00E0698B" w:rsidSect="00E0698B">
      <w:headerReference w:type="default" r:id="rId9"/>
      <w:footerReference w:type="default" r:id="rId10"/>
      <w:pgSz w:w="11906" w:h="16838"/>
      <w:pgMar w:top="1417" w:right="1701" w:bottom="1417" w:left="170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E8" w:rsidRDefault="000532E8" w:rsidP="00A009D1">
      <w:pPr>
        <w:spacing w:after="0" w:line="240" w:lineRule="auto"/>
      </w:pPr>
      <w:r>
        <w:separator/>
      </w:r>
    </w:p>
  </w:endnote>
  <w:endnote w:type="continuationSeparator" w:id="0">
    <w:p w:rsidR="000532E8" w:rsidRDefault="000532E8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A94F47">
      <w:t>20</w:t>
    </w:r>
    <w:r w:rsidR="00297DA6">
      <w:t>-</w:t>
    </w:r>
    <w:r w:rsidR="00A94F47">
      <w:t>ABRIL</w:t>
    </w:r>
    <w:r>
      <w:t>-201</w:t>
    </w:r>
    <w:r w:rsidR="00A94F47">
      <w:t>7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E8" w:rsidRDefault="000532E8" w:rsidP="00A009D1">
      <w:pPr>
        <w:spacing w:after="0" w:line="240" w:lineRule="auto"/>
      </w:pPr>
      <w:r>
        <w:separator/>
      </w:r>
    </w:p>
  </w:footnote>
  <w:footnote w:type="continuationSeparator" w:id="0">
    <w:p w:rsidR="000532E8" w:rsidRDefault="000532E8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07" w:rsidRDefault="003D7D4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</w:t>
    </w:r>
  </w:p>
  <w:tbl>
    <w:tblPr>
      <w:tblStyle w:val="Tablaconcuadrcula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2796"/>
      <w:gridCol w:w="3383"/>
    </w:tblGrid>
    <w:tr w:rsidR="00B77307" w:rsidTr="00B77307">
      <w:tc>
        <w:tcPr>
          <w:tcW w:w="3461" w:type="dxa"/>
        </w:tcPr>
        <w:p w:rsidR="00B77307" w:rsidRDefault="00B77307" w:rsidP="00B77307">
          <w:pPr>
            <w:rPr>
              <w:rFonts w:ascii="Arial" w:hAnsi="Arial" w:cs="Arial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68990502" wp14:editId="51620FEB">
                <wp:extent cx="1905000" cy="75247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dxa"/>
        </w:tcPr>
        <w:p w:rsidR="00B77307" w:rsidRDefault="00B77307" w:rsidP="00B77307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2518774F" wp14:editId="36A5CA6C">
                <wp:extent cx="1638300" cy="762000"/>
                <wp:effectExtent l="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00" b="10577"/>
                        <a:stretch/>
                      </pic:blipFill>
                      <pic:spPr>
                        <a:xfrm>
                          <a:off x="0" y="0"/>
                          <a:ext cx="1732494" cy="805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</w:tcPr>
        <w:p w:rsidR="00B77307" w:rsidRDefault="00B77307" w:rsidP="00A009D1">
          <w:pPr>
            <w:rPr>
              <w:rFonts w:ascii="Arial" w:hAnsi="Arial" w:cs="Arial"/>
              <w:b/>
              <w:sz w:val="20"/>
            </w:rPr>
          </w:pPr>
        </w:p>
        <w:p w:rsidR="00B77307" w:rsidRDefault="00B77307" w:rsidP="00B77307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2CC531FF" wp14:editId="241BCDF8">
                <wp:extent cx="1466850" cy="762000"/>
                <wp:effectExtent l="0" t="0" r="0" b="0"/>
                <wp:docPr id="6" name="Imagen 6" descr="http://www.funcionpublica.gob.mx/web/doctos/ua/os/dgcs/manual/2015/tn_hor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funcionpublica.gob.mx/web/doctos/ua/os/dgcs/manual/2015/tn_hor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77307" w:rsidRDefault="00B77307" w:rsidP="00A009D1">
          <w:pPr>
            <w:rPr>
              <w:rFonts w:ascii="Arial" w:hAnsi="Arial" w:cs="Arial"/>
              <w:b/>
              <w:sz w:val="20"/>
            </w:rPr>
          </w:pPr>
        </w:p>
        <w:p w:rsidR="00B77307" w:rsidRDefault="00B77307" w:rsidP="00A009D1">
          <w:pPr>
            <w:rPr>
              <w:rFonts w:ascii="Arial" w:hAnsi="Arial" w:cs="Arial"/>
              <w:b/>
              <w:sz w:val="20"/>
            </w:rPr>
          </w:pPr>
        </w:p>
      </w:tc>
    </w:tr>
  </w:tbl>
  <w:p w:rsidR="00A009D1" w:rsidRDefault="0076028C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                                  </w:t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E65A27">
      <w:rPr>
        <w:rFonts w:ascii="Arial" w:hAnsi="Arial" w:cs="Arial"/>
        <w:b/>
        <w:smallCaps/>
        <w:sz w:val="18"/>
      </w:rPr>
      <w:t>6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1F024D"/>
    <w:multiLevelType w:val="hybridMultilevel"/>
    <w:tmpl w:val="007626F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532E8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83CED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73E69"/>
    <w:rsid w:val="0068616A"/>
    <w:rsid w:val="006B2964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500BC"/>
    <w:rsid w:val="00B77307"/>
    <w:rsid w:val="00BB6EC1"/>
    <w:rsid w:val="00C37952"/>
    <w:rsid w:val="00C672CA"/>
    <w:rsid w:val="00C81AA4"/>
    <w:rsid w:val="00C924B2"/>
    <w:rsid w:val="00CA2E70"/>
    <w:rsid w:val="00D10AC8"/>
    <w:rsid w:val="00D16163"/>
    <w:rsid w:val="00D43885"/>
    <w:rsid w:val="00D91FFA"/>
    <w:rsid w:val="00D9405E"/>
    <w:rsid w:val="00DA6208"/>
    <w:rsid w:val="00DC5608"/>
    <w:rsid w:val="00DF76E4"/>
    <w:rsid w:val="00E0698B"/>
    <w:rsid w:val="00E4072A"/>
    <w:rsid w:val="00E55D92"/>
    <w:rsid w:val="00E65A27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A705-2D4E-4042-A1B3-3DA90870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Utsma7</cp:lastModifiedBy>
  <cp:revision>2</cp:revision>
  <dcterms:created xsi:type="dcterms:W3CDTF">2017-12-20T18:44:00Z</dcterms:created>
  <dcterms:modified xsi:type="dcterms:W3CDTF">2017-12-20T18:44:00Z</dcterms:modified>
</cp:coreProperties>
</file>